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GmbHG — Form der Einberufung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 der Versammlung erfolgt durch Einladung der Gesellschafter mittels eingeschriebener Briefe. Sie ist mit einer Frist von mindestens einer Woche zu bewirken.</w:t>
      </w:r>
    </w:p>
    <w:p>
      <w:r>
        <w:t xml:space="preserve">(2) Der Zweck der Versammlung soll jederzeit bei der Berufung angekündigt werden.</w:t>
      </w:r>
    </w:p>
    <w:p>
      <w:r>
        <w:t xml:space="preserve">(3) Ist die Versammlung nicht ordnungsmäßig berufen, so können Beschlüsse nur gefaßt werden, wenn sämtliche Gesellschafter anwesend sind.</w:t>
      </w:r>
    </w:p>
    <w:p>
      <w:r>
        <w:t xml:space="preserve">(4) Das gleiche gilt in bezug auf Beschlüsse über Gegenstände, welche nicht wenigstens drei Tage vor der Versammlung in der für die Berufung vorgeschriebenen Weise angekündigt worden sind.</w:t>
      </w:r>
    </w:p>
    <w:p>
      <w:r>
        <w:rPr>
          <w:color w:val="555555"/>
          <w:sz w:val="17"/>
        </w:rPr>
        <w:t xml:space="preserve">Zitiervorschlag: § 51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