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GmbHG — Minderheitsrechte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Gesellschafter, deren Geschäftsanteile zusammen mindestens dem zehnten Teil des Stammkapitals entsprechen, sind berechtigt, unter Angabe des Zwecks und der Gründe die Berufung der Versammlung zu verlangen.</w:t>
      </w:r>
    </w:p>
    <w:p>
      <w:r>
        <w:t xml:space="preserve">(2) In gleicher Weise haben die Gesellschafter das Recht zu verlangen, daß Gegenstände zur Beschlußfassung der Versammlung angekündigt werden.</w:t>
      </w:r>
    </w:p>
    <w:p>
      <w:r>
        <w:t xml:space="preserve">(3) Wird dem Verlangen nicht entsprochen oder sind Personen, an welche dasselbe zu richten wäre, nicht vorhanden, so können die in Absatz 1 bezeichneten Gesellschafter unter Mitteilung des Sachverhältnisses die Berufung oder Ankündigung selbst bewirken. Die Versammlung beschließt, ob die entstandenen Kosten von der Gesellschaft zu tragen sind.</w:t>
      </w:r>
    </w:p>
    <w:p>
      <w:r>
        <w:rPr>
          <w:color w:val="555555"/>
          <w:sz w:val="17"/>
        </w:rPr>
        <w:t xml:space="preserve">Zitiervorschlag: § 50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