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GmbHG — Einberufung der Versammlung</w:t>
      </w:r>
    </w:p>
    <w:p>
      <w:r>
        <w:rPr>
          <w:color w:val="555555"/>
          <w:sz w:val="18"/>
        </w:rPr>
        <w:t xml:space="preserve">Gesetz betreffend die Gesellschaften mit beschränkter Haftung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Versammlung der Gesellschafter wird durch die Geschäftsführer berufen.</w:t>
      </w:r>
    </w:p>
    <w:p>
      <w:r>
        <w:t xml:space="preserve">(2) Sie ist außer den ausdrücklich bestimmten Fällen zu berufen, wenn es im Interesse der Gesellschaft erforderlich erscheint.</w:t>
      </w:r>
    </w:p>
    <w:p>
      <w:r>
        <w:t xml:space="preserve">(3) Insbesondere muß die Versammlung unverzüglich berufen werden, wenn aus der Jahresbilanz oder aus einer im Laufe des Geschäftsjahres aufgestellten Bilanz sich ergibt, daß die Hälfte des Stammkapitals verloren ist.</w:t>
      </w:r>
    </w:p>
    <w:p>
      <w:r>
        <w:rPr>
          <w:color w:val="555555"/>
          <w:sz w:val="17"/>
        </w:rPr>
        <w:t xml:space="preserve">Zitiervorschlag: § 49 GmbHG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https://recht.nulegal.eu/gesetze/GmbHG/49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