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GmbHG — Rechte der Gesellschafter</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Rechte, welche den Gesellschaftern in den Angelegenheiten der Gesellschaft, insbesondere in bezug auf die Führung der Geschäfte zustehen, sowie die Ausübung derselben bestimmen sich, soweit nicht gesetzliche Vorschriften entgegenstehen, nach dem Gesellschaftsvertrag.</w:t>
      </w:r>
    </w:p>
    <w:p>
      <w:r>
        <w:t xml:space="preserve">(2) In Ermangelung besonderer Bestimmungen des Gesellschaftsvertrags finden die Vorschriften der §§ 46 bis 51 Anwendung.</w:t>
      </w:r>
    </w:p>
    <w:p>
      <w:r>
        <w:rPr>
          <w:color w:val="555555"/>
          <w:sz w:val="17"/>
        </w:rPr>
        <w:t xml:space="preserve">Zitiervorschlag: § 45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