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GmbHG — Einziehung von Geschäftsanteilen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Einziehung (Amortisation) von Geschäftsanteilen darf nur erfolgen, soweit sie im Gesellschaftsvertrag zugelassen ist.</w:t>
      </w:r>
    </w:p>
    <w:p>
      <w:r>
        <w:t xml:space="preserve">(2) Ohne die Zustimmung des Anteilsberechtigten findet die Einziehung nur statt, wenn die Voraussetzungen derselben vor dem Zeitpunkt, in welchem der Berechtigte den Geschäftsanteil erworben hat, im Gesellschaftsvertrag festgesetzt waren.</w:t>
      </w:r>
    </w:p>
    <w:p>
      <w:r>
        <w:t xml:space="preserve">(3) Die Bestimmung in § 30 Abs. 1 bleibt unberührt.</w:t>
      </w:r>
    </w:p>
    <w:p>
      <w:r>
        <w:rPr>
          <w:color w:val="555555"/>
          <w:sz w:val="17"/>
        </w:rPr>
        <w:t xml:space="preserve">Zitiervorschlag: § 34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