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GmbHG — Ergebnisverwendung</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Die Gesellschafter haben Anspruch auf den Jahresüberschuß zuzüglich eines Gewinnvortrags und abzüglich eines Verlustvortrags, soweit der sich ergebende Betrag nicht nach Gesetz oder Gesellschaftsvertrag, durch Beschluß nach Absatz 2 oder als zusätzlicher Aufwand auf Grund des Beschlusses über die Verwendung des Ergebnisses von der Verteilung unter die Gesellschafter ausgeschlossen ist. Wird die Bilanz unter Berücksichtigung der teilweisen Ergebnisverwendung aufgestellt oder werden Rücklagen aufgelöst, so haben die Gesellschafter abweichend von Satz 1 Anspruch auf den Bilanzgewinn.</w:t>
      </w:r>
    </w:p>
    <w:p>
      <w:r>
        <w:t xml:space="preserve">(2) Im Beschluß über die Verwendung des Ergebnisses können die Gesellschafter, wenn der Gesellschaftsvertrag nichts anderes bestimmt, Beträge in Gewinnrücklagen einstellen oder als Gewinn vortragen.</w:t>
      </w:r>
    </w:p>
    <w:p>
      <w:r>
        <w:t xml:space="preserve">(3) Die Verteilung erfolgt nach Verhältnis der Geschäftsanteile. Im Gesellschaftsvertrag kann ein anderer Maßstab der Verteilung festgesetzt werden.</w:t>
      </w:r>
    </w:p>
    <w:p>
      <w:r>
        <w:t xml:space="preserve">(4) Unbeschadet der Absätze 1 und 2 und abweichender Gewinnverteilungsabreden nach Absatz 3 Satz 2 können die Geschäftsführer mit Zustimmung des Aufsichtsrats oder der Gesellschafter den Eigenkapitalanteil von Wertaufholungen bei Vermögensgegenständen des Anlage- und Umlaufvermögens in andere Gewinnrücklagen einstellen. Der Betrag dieser Rücklagen ist in der Bilanz gesondert auszuweisen; er kann auch im Anhang angegeben werden.</w:t>
      </w:r>
    </w:p>
    <w:p>
      <w:r>
        <w:rPr>
          <w:color w:val="555555"/>
          <w:sz w:val="17"/>
        </w:rPr>
        <w:t xml:space="preserve">Zitiervorschlag: § 29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