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GmbHG — Beschränkte Nachschusspflicht</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Ist die Nachschußpflicht auf einen bestimmten Betrag beschränkt, so finden, wenn im Gesellschaftsvertrag nicht ein anderes festgesetzt ist, im Fall verzögerter Einzahlung von Nachschüssen die auf die Einzahlung der Stammeinlagen bezüglichen Vorschriften der §§ 21 bis 23 entsprechende Anwendung. Das gleiche gilt im Fall des § 27 Abs. 4 auch bei unbeschränkter Nachschußpflicht, soweit die Nachschüsse den im Gesellschaftsvertrag festgesetzten Betrag nicht überschreiten.</w:t>
      </w:r>
    </w:p>
    <w:p>
      <w:r>
        <w:t xml:space="preserve">(2) Im Gesellschaftsvertrag kann bestimmt werden, daß die Einforderung von Nachschüssen, auf deren Zahlung die Vorschriften der §§ 21 bis 23 Anwendung finden, schon vor vollständiger Einforderung der Stammeinlagen zulässig ist.</w:t>
      </w:r>
    </w:p>
    <w:p>
      <w:r>
        <w:rPr>
          <w:color w:val="555555"/>
          <w:sz w:val="17"/>
        </w:rPr>
        <w:t xml:space="preserve">Zitiervorschlag: § 28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