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GmbHG — Nachschusspflicht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Gesellschaftsvertrag kann bestimmt werden, daß die Gesellschafter über die Nennbeträge der Geschäftsanteile hinaus die Einforderung von weiteren Einzahlungen (Nachschüssen) beschließen können.</w:t>
      </w:r>
    </w:p>
    <w:p>
      <w:r>
        <w:t xml:space="preserve">(2) Die Einzahlung der Nachschüsse hat nach Verhältnis der Geschäftsanteile zu erfolgen.</w:t>
      </w:r>
    </w:p>
    <w:p>
      <w:r>
        <w:t xml:space="preserve">(3) Die Nachschußpflicht kann im Gesellschaftsvertrag auf einen bestimmten, nach Verhältnis der Geschäftsanteile festzusetzenden Betrag beschränkt werden.</w:t>
      </w:r>
    </w:p>
    <w:p>
      <w:r>
        <w:rPr>
          <w:color w:val="555555"/>
          <w:sz w:val="17"/>
        </w:rPr>
        <w:t xml:space="preserve">Zitiervorschlag: § 26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