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GmbHG — Zwingende Vorschriften</w:t>
      </w:r>
    </w:p>
    <w:p>
      <w:r>
        <w:rPr>
          <w:color w:val="555555"/>
          <w:sz w:val="18"/>
        </w:rPr>
        <w:t xml:space="preserve">Gesetz betreffend die Gesellschaften mit beschränkter Haftung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den in den §§ 21 bis 24 bezeichneten Rechtsfolgen können die Gesellschafter nicht befreit werden.</w:t>
      </w:r>
    </w:p>
    <w:p>
      <w:r>
        <w:rPr>
          <w:color w:val="555555"/>
          <w:sz w:val="17"/>
        </w:rPr>
        <w:t xml:space="preserve">Zitiervorschlag: § 25 GmbHG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https://recht.nulegal.eu/gesetze/GmbHG/25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