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20 GmbHG — Verzugszinsen</w:t>
      </w:r>
    </w:p>
    <w:p>
      <w:r>
        <w:rPr>
          <w:color w:val="555555"/>
          <w:sz w:val="18"/>
        </w:rPr>
        <w:t xml:space="preserve">Gesetz betreffend die Gesellschaften mit beschränkter Haftung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 Gesellschafter, welcher den auf die Stammeinlage eingeforderten Betrag nicht zur rechten Zeit einzahlt, ist zur Entrichtung von Verzugszinsen von Rechts wegen verpflichtet.</w:t>
      </w:r>
    </w:p>
    <w:p>
      <w:r>
        <w:rPr>
          <w:color w:val="555555"/>
          <w:sz w:val="17"/>
        </w:rPr>
        <w:t xml:space="preserve">Zitiervorschlag: § 20 GmbHG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https://recht.nulegal.eu/gesetze/GmbHG/20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