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GmbHG — Juristische Person; Handelsgesellschaft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Gesellschaft mit beschränkter Haftung als solche hat selbständig ihre Rechte und Pflichten; sie kann Eigentum und andere dingliche Rechte an Grundstücken erwerben, vor Gericht klagen und verklagt werden.</w:t>
      </w:r>
    </w:p>
    <w:p>
      <w:r>
        <w:t xml:space="preserve">(2) Für die Verbindlichkeiten der Gesellschaft haftet den Gläubigern derselben nur das Gesellschaftsvermögen.</w:t>
      </w:r>
    </w:p>
    <w:p>
      <w:r>
        <w:t xml:space="preserve">(3) Die Gesellschaft gilt als Handelsgesellschaft im Sinne des Handelsgesetzbuchs.</w:t>
      </w:r>
    </w:p>
    <w:p>
      <w:r>
        <w:rPr>
          <w:color w:val="555555"/>
          <w:sz w:val="17"/>
        </w:rPr>
        <w:t xml:space="preserve">Zitiervorschlag: § 13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