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GmbHG — Rechtszustand vor der Eintragung</w:t>
      </w:r>
    </w:p>
    <w:p>
      <w:r>
        <w:rPr>
          <w:color w:val="555555"/>
          <w:sz w:val="18"/>
        </w:rPr>
        <w:t xml:space="preserve">Gesetz betreffend die Gesellschaften mit beschränkter Haftung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Vor der Eintragung in das Handelsregister des Sitzes der Gesellschaft besteht die Gesellschaft mit beschränkter Haftung als solche nicht.</w:t>
      </w:r>
    </w:p>
    <w:p>
      <w:r>
        <w:t xml:space="preserve">(2) Ist vor der Eintragung im Namen der Gesellschaft gehandelt worden, so haften die Handelnden persönlich und solidarisch.</w:t>
      </w:r>
    </w:p>
    <w:p>
      <w:r>
        <w:rPr>
          <w:color w:val="555555"/>
          <w:sz w:val="17"/>
        </w:rPr>
        <w:t xml:space="preserve">Zitiervorschlag: § 11 GmbHG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https://recht.nulegal.eu/gesetze/GmbHG/11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