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GleibWV 2015 — Auflösung des Wahlvorstandes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Amtszeit des Wahlvorstandes endet</w:t>
      </w:r>
    </w:p>
    <w:p>
      <w:pPr>
        <w:ind w:left="420"/>
      </w:pPr>
      <w:r>
        <w:t xml:space="preserve">1. mit Ablauf der Anfechtungsfrist nach § 21 Absatz 3 des Bundesgleichstellungsgesetzes,</w:t>
      </w:r>
    </w:p>
    <w:p>
      <w:pPr>
        <w:ind w:left="420"/>
      </w:pPr>
      <w:r>
        <w:t xml:space="preserve">2. im Fall einer Anfechtung mit dem bestands- oder rechtskräftigen Abschluss des Anfechtungsverfahrens oder</w:t>
      </w:r>
    </w:p>
    <w:p>
      <w:pPr>
        <w:ind w:left="420"/>
      </w:pPr>
      <w:r>
        <w:t xml:space="preserve">3. mit Bekanntgabe, dass im Fall des § 12 Absatz 3 Nummer 2 für alle zu besetzenden Ämter eine Bestellung von Amts wegen durch die Dienststelle erfolgt.</w:t>
      </w:r>
    </w:p>
    <w:p>
      <w:r>
        <w:rPr>
          <w:color w:val="555555"/>
          <w:sz w:val="17"/>
        </w:rPr>
        <w:t xml:space="preserve">Zitiervorschlag: § 25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