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GleibWV 2015 — Stimmenauszählung, Feststellung des Wahlergebnisses</w:t>
      </w:r>
    </w:p>
    <w:p>
      <w:r>
        <w:rPr>
          <w:color w:val="555555"/>
          <w:sz w:val="18"/>
        </w:rPr>
        <w:t xml:space="preserve">Gleichstellungsbeauftragtenwahlverordnung</w:t>
      </w:r>
    </w:p>
    <w:p>
      <w:r>
        <w:rPr>
          <w:color w:val="555555"/>
          <w:sz w:val="18"/>
        </w:rPr>
        <w:t xml:space="preserve">Stand: 30.09.2021 (konsolidierte Textfassung, kein amtliches Inkrafttretensdatum)</w:t>
      </w:r>
    </w:p>
    <w:p>
      <w:r>
        <w:t xml:space="preserve">(1) Unverzüglich nach Ablauf der Frist zur Stimmabgabe, im Fall der Briefwahl nach Abschluss der Tätigkeiten nach § 18 Absatz 1, zählt der Wahlvorstand öffentlich die Stimmen aus. Dazu öffnet er die Wahlurnen, entnimmt ihnen die Stimmzettel und prüft deren Gültigkeit. Stimmzettel, die der Wahlvorstand durch Beschluss für ungültig erklärt hat, sind mit fortlaufenden Nummern zu versehen und von den übrigen Stimmzetteln gesondert bei den Wahlunterlagen aufzubewahren. Anschließend stellt der Wahlvorstand das Wahlergebnis fest.</w:t>
      </w:r>
    </w:p>
    <w:p>
      <w:r>
        <w:t xml:space="preserve">(2) Über das Ergebnis jedes Wahlgangs ist eine Liste zu erstellen. Die Liste enthält die Familien- und Vornamen der Bewerberinnen sowie die Zahl der auf sie entfallenen Stimmen. Über den Listenplatz der Bewerberinnen entscheidet die Stimmenzahl; bei Stimmengleichheit entscheidet das Los. Der Wahlvorstand führt das Losverfahren durch.</w:t>
      </w:r>
    </w:p>
    <w:p>
      <w:r>
        <w:t xml:space="preserve">(3) Als Gleichstellungsbeauftragte ist die Bewerberin auf dem ersten Listenplatz gewählt, wenn auf sie mindestens eine Stimme abgegeben wurde. Bei nur einer gültigen Bewerbung ist die Bewerberin gewählt, wenn sie mehr Ja- als Nein-Stimmen erhalten hat.</w:t>
      </w:r>
    </w:p>
    <w:p>
      <w:r>
        <w:t xml:space="preserve">(4) Für die Wahl der Stellvertreterinnen gilt Absatz 2 entsprechend. Sind zwei Stellvertreterinnen zu wählen, sind die Bewerberinnen auf den ersten beiden Listenplätzen gewählt. Bei drei zu wählenden Stellvertreterinnen sind die Bewerberinnen auf den ersten drei Listenplätzen gewählt.</w:t>
      </w:r>
    </w:p>
    <w:p>
      <w:r>
        <w:t xml:space="preserve">(5) Der Wahlvorstand fertigt über das Gesamtergebnis der Wahl eine Niederschrift an, die von den Mitgliedern des Wahlvorstandes zu unterzeichnen ist. Die Niederschrift muss getrennt nach Wahlgang folgende Angaben enthalten:</w:t>
      </w:r>
    </w:p>
    <w:p>
      <w:pPr>
        <w:ind w:left="420"/>
      </w:pPr>
      <w:r>
        <w:t xml:space="preserve">1. die Zahl der Wahlberechtigten,</w:t>
      </w:r>
    </w:p>
    <w:p>
      <w:pPr>
        <w:ind w:left="420"/>
      </w:pPr>
      <w:r>
        <w:t xml:space="preserve">2. die Zahl der abgegebenen gültigen und ungültigen Stimmzettel,</w:t>
      </w:r>
    </w:p>
    <w:p>
      <w:pPr>
        <w:ind w:left="420"/>
      </w:pPr>
      <w:r>
        <w:t xml:space="preserve">3. die Liste über das Ergebnis jedes Wahlgangs nach Absatz 2 Satz 1,</w:t>
      </w:r>
    </w:p>
    <w:p>
      <w:pPr>
        <w:ind w:left="420"/>
      </w:pPr>
      <w:r>
        <w:t xml:space="preserve">4. den Familien- und Vornamen, die Organisationseinheit, die Funktion der gewählten Gleichstellungsbeauftragten und der gewählten Stellvertreterinnen sowie bei gemeinsamer Wahl in verschiedenen Dienststellen die Dienststelle und bei Dienststellen mit verschiedenen Dienstorten den Dienstort sowie</w:t>
      </w:r>
    </w:p>
    <w:p>
      <w:pPr>
        <w:ind w:left="420"/>
      </w:pPr>
      <w:r>
        <w:t xml:space="preserve">5. besondere Vorfälle bei der Wahl oder bei der Feststellung des Wahlergebnisses.</w:t>
      </w:r>
    </w:p>
    <w:p>
      <w:r>
        <w:t xml:space="preserve">(6) Der Wahlvorstand gibt das Wahlergebnis in allen Dienststellen, in denen gewählt worden ist, schriftlich oder elektronisch bekannt und weist auf die Anfechtungsfrist nach § 21 Absatz 3 des Bundesgleichstellungsgesetzes hin.</w:t>
      </w:r>
    </w:p>
    <w:p>
      <w:r>
        <w:rPr>
          <w:color w:val="555555"/>
          <w:sz w:val="17"/>
        </w:rPr>
        <w:t xml:space="preserve">Zitiervorschlag: § 20 GleibWV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https://recht.nulegal.eu/gesetze/GleibWV%202015/20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