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GleibWV 2015 — Wahlberechtigung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Wahlberechtigt sind auch teilzeitbeschäftigte Frauen und minderjährige weibliche Auszubildende sowie Frauen, die beurlaubt oder zu einer anderen Dienststelle abgeordnet sind.</w:t>
      </w:r>
    </w:p>
    <w:p>
      <w:r>
        <w:t xml:space="preserve">(2) Wählen kann nur, wer in die Wählerinnenliste eingetragen ist.</w:t>
      </w:r>
    </w:p>
    <w:p>
      <w:r>
        <w:rPr>
          <w:color w:val="555555"/>
          <w:sz w:val="17"/>
        </w:rPr>
        <w:t xml:space="preserve">Zitiervorschlag: § 2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