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GleibWV 2015 — Ausübung des Wahlrechts</w:t>
      </w:r>
    </w:p>
    <w:p>
      <w:r>
        <w:rPr>
          <w:color w:val="555555"/>
          <w:sz w:val="18"/>
        </w:rPr>
        <w:t xml:space="preserve">Gleichstellungsbeauftragtenwahlverordnung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Jede Wählerin hat für jeden Wahlgang eine Stimme.</w:t>
      </w:r>
    </w:p>
    <w:p>
      <w:r>
        <w:t xml:space="preserve">(2) Die Wählerin kennzeichnet den Stimmzettel durch Ankreuzen eines dafür vorgesehenen Feldes.</w:t>
      </w:r>
    </w:p>
    <w:p>
      <w:r>
        <w:t xml:space="preserve">(3) Die Stimmabgabe für den Wahlgang ist ungültig, wenn</w:t>
      </w:r>
    </w:p>
    <w:p>
      <w:pPr>
        <w:ind w:left="420"/>
      </w:pPr>
      <w:r>
        <w:t xml:space="preserve">1. mehr als ein Feld angekreuzt ist,</w:t>
      </w:r>
    </w:p>
    <w:p>
      <w:pPr>
        <w:ind w:left="420"/>
      </w:pPr>
      <w:r>
        <w:t xml:space="preserve">2. sich aus anderen Gründen der Wille der Wählerin nicht zweifelsfrei ergibt,</w:t>
      </w:r>
    </w:p>
    <w:p>
      <w:pPr>
        <w:ind w:left="420"/>
      </w:pPr>
      <w:r>
        <w:t xml:space="preserve">3. der Stimmzettel mit einem besonderen Merkmal versehen ist oder einen Zusatz oder Vorbehalt enthält oder</w:t>
      </w:r>
    </w:p>
    <w:p>
      <w:pPr>
        <w:ind w:left="420"/>
      </w:pPr>
      <w:r>
        <w:t xml:space="preserve">4. der Stimmzettel bei der Briefwahl nicht in einem Wahlumschlag abgegeben wurde.</w:t>
      </w:r>
    </w:p>
    <w:p>
      <w:r>
        <w:rPr>
          <w:color w:val="555555"/>
          <w:sz w:val="17"/>
        </w:rPr>
        <w:t xml:space="preserve">Zitiervorschlag: § 15 GleibWV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https://recht.nulegal.eu/gesetze/GleibWV%202015/15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