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GleiStatV 2015 — Meldung und Aufbereitung der Daten für den Gleichstellungsindex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(1) Für die Meldung und Aufbereitung der Daten gilt § 4 Absatz 4 entsprechend.</w:t>
      </w:r>
    </w:p>
    <w:p>
      <w:r>
        <w:t xml:space="preserve">(2) Der Gleichstellungsindex nach § 38 Absatz 3 Nummer 2 des Bundesgleichstellungsgesetzes enthält insbesondere</w:t>
      </w:r>
    </w:p>
    <w:p>
      <w:pPr>
        <w:ind w:left="420"/>
      </w:pPr>
      <w:r>
        <w:t xml:space="preserve">1. eine tabellarische Gesamtübersicht,</w:t>
      </w:r>
    </w:p>
    <w:p>
      <w:pPr>
        <w:ind w:left="420"/>
      </w:pPr>
      <w:r>
        <w:t xml:space="preserve">2. eine zusammenfassende Beschreibung zu den einzelnen Erhebungsmerkmalen,</w:t>
      </w:r>
    </w:p>
    <w:p>
      <w:pPr>
        <w:ind w:left="420"/>
      </w:pPr>
      <w:r>
        <w:t xml:space="preserve">3. eine nach den einzelnen Erhebungsmerkmalen aufgeschlüsselte vergleichende Darstellung der Erhebungsergebnisse der obersten Bundesbehörden,</w:t>
      </w:r>
    </w:p>
    <w:p>
      <w:pPr>
        <w:ind w:left="420"/>
      </w:pPr>
      <w:r>
        <w:t xml:space="preserve">4. eine nach den einzelnen Erhebungsmerkmalen aufgeschlüsselte Darstellung der Erhebungsergebnisse im Vergleich zu denen des vorherigen Berichtszeitraumes,</w:t>
      </w:r>
    </w:p>
    <w:p>
      <w:pPr>
        <w:ind w:left="420"/>
      </w:pPr>
      <w:r>
        <w:t xml:space="preserve">5. grafische Darstellungen.</w:t>
      </w:r>
    </w:p>
    <w:p>
      <w:r>
        <w:t xml:space="preserve">(3) Das Statistische Bundesamt veröffentlicht den Gleichstellungsindex bis zum 31. Dezember des Berichtsjahres auf seiner Internetseite.</w:t>
      </w:r>
    </w:p>
    <w:p>
      <w:r>
        <w:rPr>
          <w:color w:val="555555"/>
          <w:sz w:val="17"/>
        </w:rPr>
        <w:t xml:space="preserve">Zitiervorschlag: § 6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