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GleiBStiftG — Erfüllung des Stiftungszwecks</w:t>
      </w:r>
    </w:p>
    <w:p>
      <w:r>
        <w:rPr>
          <w:color w:val="555555"/>
          <w:sz w:val="18"/>
        </w:rPr>
        <w:t xml:space="preserve">Gesetz zur Errichtung der Bundesstiftung Gleichstellung</w:t>
      </w:r>
    </w:p>
    <w:p>
      <w:r>
        <w:rPr>
          <w:color w:val="555555"/>
          <w:sz w:val="18"/>
        </w:rPr>
        <w:t xml:space="preserve">Stand: 28.05.2021 (konsolidierte Textfassung, kein amtliches Inkrafttretensdatum)</w:t>
      </w:r>
    </w:p>
    <w:p>
      <w:r>
        <w:t xml:space="preserve">(1) Der Stiftungszweck wird insbesondere erfüllt durch:</w:t>
      </w:r>
    </w:p>
    <w:p>
      <w:pPr>
        <w:ind w:left="420"/>
      </w:pPr>
      <w:r>
        <w:t xml:space="preserve">1. Zusammentragen, Aufbereiten und Bereitstellen von Informationen, Daten und Fakten zum Themenbereich Gleichstellung sowie durch Beauftragung von Studien im Bedarfsfall,</w:t>
      </w:r>
    </w:p>
    <w:p>
      <w:pPr>
        <w:ind w:left="420"/>
      </w:pPr>
      <w:r>
        <w:t xml:space="preserve">2. Begleitung und Unterstützung des bundesweiten öffentlichen Diskurses zu gleichstellungspolitischen Themen,</w:t>
      </w:r>
    </w:p>
    <w:p>
      <w:pPr>
        <w:ind w:left="420"/>
      </w:pPr>
      <w:r>
        <w:t xml:space="preserve">3. Stärkung der praktischen Gleichstellungsarbeit, insbesondere durch Beratung von Verwaltung, Zivilgesellschaft, Wissenschaft und Wirtschaft bei der Entwicklung von Lösungsansätzen und deren Umsetzung,</w:t>
      </w:r>
    </w:p>
    <w:p>
      <w:pPr>
        <w:ind w:left="420"/>
      </w:pPr>
      <w:r>
        <w:t xml:space="preserve">4. Entwicklung und Erprobung von innovativen Maßnahmen zur Verwirklichung von Gleichstellung, gegebenenfalls einschließlich zugehöriger Fördermaßnahmen,</w:t>
      </w:r>
    </w:p>
    <w:p>
      <w:pPr>
        <w:ind w:left="420"/>
      </w:pPr>
      <w:r>
        <w:t xml:space="preserve">5. Vernetzung von Bund, Ländern, Kommunen, Zivilgesellschaft, Wissenschaft und Wirtschaft,</w:t>
      </w:r>
    </w:p>
    <w:p>
      <w:pPr>
        <w:ind w:left="420"/>
      </w:pPr>
      <w:r>
        <w:t xml:space="preserve">6. Unterstützung gleichstellungspolitischer Initiativen, insbesondere, indem die Stiftung als Vernetzungsplattform der Zivilgesellschaft im Sinne eines offenen Hauses für Gleichstellung fungiert.</w:t>
      </w:r>
    </w:p>
    <w:p>
      <w:r>
        <w:t xml:space="preserve">(2) Bei der Erfüllung des Stiftungszwecks berücksichtigt die Stiftung bestehende Bundesgesetze sowie bestehende Programme und Projekte.</w:t>
      </w:r>
    </w:p>
    <w:p>
      <w:r>
        <w:rPr>
          <w:color w:val="555555"/>
          <w:sz w:val="17"/>
        </w:rPr>
        <w:t xml:space="preserve">Zitiervorschlag: § 3 GleiBStiftG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https://recht.nulegal.eu/gesetze/GleiBStiftG/3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