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GleiBStiftG — Stiftungszweck</w:t>
      </w:r>
    </w:p>
    <w:p>
      <w:r>
        <w:rPr>
          <w:color w:val="555555"/>
          <w:sz w:val="18"/>
        </w:rPr>
        <w:t xml:space="preserve">Gesetz zur Errichtung der Bundesstiftung Gleichstellung</w:t>
      </w:r>
    </w:p>
    <w:p>
      <w:r>
        <w:rPr>
          <w:color w:val="555555"/>
          <w:sz w:val="18"/>
        </w:rPr>
        <w:t xml:space="preserve">Stand: 28.05.2021 (konsolidierte Textfassung, kein amtliches Inkrafttretensdatum)</w:t>
      </w:r>
    </w:p>
    <w:p>
      <w:r>
        <w:t xml:space="preserve">Stiftungszweck ist die Stärkung und Förderung der Gleichstellung von Frauen und Männern in Deutschland.</w:t>
      </w:r>
    </w:p>
    <w:p>
      <w:r>
        <w:rPr>
          <w:color w:val="555555"/>
          <w:sz w:val="17"/>
        </w:rPr>
        <w:t xml:space="preserve">Zitiervorschlag: § 2 GleiBStiftG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https://recht.nulegal.eu/gesetze/GleiBStiftG/2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