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GleiBStiftG — Rechtsaufsicht</w:t>
      </w:r>
    </w:p>
    <w:p>
      <w:r>
        <w:rPr>
          <w:color w:val="555555"/>
          <w:sz w:val="18"/>
        </w:rPr>
        <w:t xml:space="preserve">Gesetz zur Errichtung der Bundesstiftung Gleichstellung</w:t>
      </w:r>
    </w:p>
    <w:p>
      <w:r>
        <w:rPr>
          <w:color w:val="555555"/>
          <w:sz w:val="18"/>
        </w:rPr>
        <w:t xml:space="preserve">Stand: 28.05.2021 (konsolidierte Textfassung, kein amtliches Inkrafttretensdatum)</w:t>
      </w:r>
    </w:p>
    <w:p>
      <w:r>
        <w:t xml:space="preserve">Die Stiftung untersteht der Rechtsaufsicht des Bundesministeriums für Familie, Senioren, Frauen und Jugend.</w:t>
      </w:r>
    </w:p>
    <w:p>
      <w:r>
        <w:rPr>
          <w:color w:val="555555"/>
          <w:sz w:val="17"/>
        </w:rPr>
        <w:t xml:space="preserve">Zitiervorschlag: § 14 GleiBStiftG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https://recht.nulegal.eu/gesetze/GleiBStiftG/14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