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GleiBStiftG — Haushalt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Für das Haushalts-, Kassen- und Rechnungswesen sowie für die Rechnungslegung der Stiftung gelten die für die bundesunmittelbare Bundesverwaltung geltenden Bestimmungen einschließlich der Verwaltungsvorschriften zur Bundeshaushaltsordnung.</w:t>
      </w:r>
    </w:p>
    <w:p>
      <w:r>
        <w:t xml:space="preserve">(2) Die Stiftung hat rechtzeitig vor Beginn eines jeden Geschäftsjahres einen Haushaltsplan aufzustellen. Der Haushaltsplan bedarf der Genehmigung des Stiftungsrates. § 108 der Bundeshaushaltsordnung bleibt unberührt.</w:t>
      </w:r>
    </w:p>
    <w:p>
      <w:r>
        <w:t xml:space="preserve">(3) Die Haushalts- und die Wirtschaftsführung der Stiftung unterliegen der Prüfung durch den Bundesrechnungshof.</w:t>
      </w:r>
    </w:p>
    <w:p>
      <w:r>
        <w:rPr>
          <w:color w:val="555555"/>
          <w:sz w:val="17"/>
        </w:rPr>
        <w:t xml:space="preserve">Zitiervorschlag: § 13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