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GleiBStiftG — Errichtung und Sitz</w:t>
      </w:r>
    </w:p>
    <w:p>
      <w:r>
        <w:rPr>
          <w:color w:val="555555"/>
          <w:sz w:val="18"/>
        </w:rPr>
        <w:t xml:space="preserve">Gesetz zur Errichtung der Bundesstiftung Gleichstellung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(1) Unter dem Namen „Bundesstiftung Gleichstellung“ wird eine rechtsfähige bundesunmittelbare Stiftung des öffentlichen Rechts errichtet. Die Errichtung erfolgt mit Inkrafttreten dieses Gesetzes.</w:t>
      </w:r>
    </w:p>
    <w:p>
      <w:r>
        <w:t xml:space="preserve">(2) Sitz der Stiftung ist Berlin.</w:t>
      </w:r>
    </w:p>
    <w:p>
      <w:r>
        <w:rPr>
          <w:color w:val="555555"/>
          <w:sz w:val="17"/>
        </w:rPr>
        <w:t xml:space="preserve">Zitiervorschlag: § 1 GleiBStiftG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https://recht.nulegal.eu/gesetze/GleiBStiftG/1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