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GlasmAusbV</w:t>
      </w:r>
    </w:p>
    <w:p>
      <w:r>
        <w:rPr>
          <w:color w:val="555555"/>
          <w:sz w:val="18"/>
        </w:rPr>
        <w:t xml:space="preserve">Glasmacher-Ausbildungsverordnung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des Berufsbildungsgesetzes vom 14. August 1969 (BGBl. I S. 1112), der zuletzt durch § 24 Nr. 1 des Gesetzes vom 24. August 1976 (BGBl. I S. 2525) geändert worden ist, wird im Einvernehmen mit dem Bundesminister für Bildung und Wissenschaft verordnet:</w:t>
      </w:r>
    </w:p>
    <w:p>
      <w:r>
        <w:rPr>
          <w:color w:val="555555"/>
          <w:sz w:val="17"/>
        </w:rPr>
        <w:t xml:space="preserve">Zitiervorschlag: Eingangsformel GlasmAusbV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https://recht.nulegal.eu/gesetze/GlasmAusbV/eingangsformel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