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GlasmAusbV — Ausbildungsberufsbild</w:t>
      </w:r>
    </w:p>
    <w:p>
      <w:r>
        <w:rPr>
          <w:color w:val="555555"/>
          <w:sz w:val="18"/>
        </w:rPr>
        <w:t xml:space="preserve">Glasmacher-Ausbildungsverordnung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Gegenstand der Berufsausbildung sind mindestens die folgenden Fertigkeiten und Kenntnisse:</w:t>
      </w:r>
    </w:p>
    <w:p>
      <w:pPr>
        <w:ind w:left="420"/>
      </w:pPr>
      <w:r>
        <w:t xml:space="preserve">1. Berufsbildung,</w:t>
      </w:r>
    </w:p>
    <w:p>
      <w:pPr>
        <w:ind w:left="420"/>
      </w:pPr>
      <w:r>
        <w:t xml:space="preserve">2. Aufbau und Organisation des Ausbildungsbetriebs,</w:t>
      </w:r>
    </w:p>
    <w:p>
      <w:pPr>
        <w:ind w:left="420"/>
      </w:pPr>
      <w:r>
        <w:t xml:space="preserve">3. Arbeits- und Tarifrecht, Arbeitsschutz,</w:t>
      </w:r>
    </w:p>
    <w:p>
      <w:pPr>
        <w:ind w:left="420"/>
      </w:pPr>
      <w:r>
        <w:t xml:space="preserve">4. Unfallverhütung, Umweltschutz und rationelle Energieverwendung,</w:t>
      </w:r>
    </w:p>
    <w:p>
      <w:pPr>
        <w:ind w:left="420"/>
      </w:pPr>
      <w:r>
        <w:t xml:space="preserve">5. Handhaben und Pflegen von Maschinen für die Handglasformung, von Arbeitsgeräten und von Einrichtungen,</w:t>
      </w:r>
    </w:p>
    <w:p>
      <w:pPr>
        <w:ind w:left="420"/>
      </w:pPr>
      <w:r>
        <w:t xml:space="preserve">6. Kenntnisse der Glasschmelze und der wichtigsten Eigenschaften des Glases,</w:t>
      </w:r>
    </w:p>
    <w:p>
      <w:pPr>
        <w:ind w:left="420"/>
      </w:pPr>
      <w:r>
        <w:t xml:space="preserve">7. Anfertigen und Umsetzen von Entwurfsskizzen,</w:t>
      </w:r>
    </w:p>
    <w:p>
      <w:pPr>
        <w:ind w:left="420"/>
      </w:pPr>
      <w:r>
        <w:t xml:space="preserve">8. Anfangen einer Glasmenge, Anfertigen eines Kölbels,</w:t>
      </w:r>
    </w:p>
    <w:p>
      <w:pPr>
        <w:ind w:left="420"/>
      </w:pPr>
      <w:r>
        <w:t xml:space="preserve">9. Vorformen des Glaspostens sowie Formen durch Gießen,</w:t>
      </w:r>
    </w:p>
    <w:p>
      <w:pPr>
        <w:ind w:left="420"/>
      </w:pPr>
      <w:r>
        <w:t xml:space="preserve">10. Glasmenge über Kölbel oder Nabel verarbeiten,</w:t>
      </w:r>
    </w:p>
    <w:p>
      <w:pPr>
        <w:ind w:left="420"/>
      </w:pPr>
      <w:r>
        <w:t xml:space="preserve">11. Fertigformen vorgeformter Glasposten,</w:t>
      </w:r>
    </w:p>
    <w:p>
      <w:pPr>
        <w:ind w:left="420"/>
      </w:pPr>
      <w:r>
        <w:t xml:space="preserve">12. Freiformen von Glasposten,</w:t>
      </w:r>
    </w:p>
    <w:p>
      <w:pPr>
        <w:ind w:left="420"/>
      </w:pPr>
      <w:r>
        <w:t xml:space="preserve">13. Verformen von Glasgegenständen nach Wiedererwärmen,</w:t>
      </w:r>
    </w:p>
    <w:p>
      <w:pPr>
        <w:ind w:left="420"/>
      </w:pPr>
      <w:r>
        <w:t xml:space="preserve">14. Wiedererwärmen und Formen geblasener Glasgegenstände,</w:t>
      </w:r>
    </w:p>
    <w:p>
      <w:pPr>
        <w:ind w:left="420"/>
      </w:pPr>
      <w:r>
        <w:t xml:space="preserve">15. Überfangen von Glasposten,</w:t>
      </w:r>
    </w:p>
    <w:p>
      <w:pPr>
        <w:ind w:left="420"/>
      </w:pPr>
      <w:r>
        <w:t xml:space="preserve">16. Formen und Ansetzen von Glasrohlingen,</w:t>
      </w:r>
    </w:p>
    <w:p>
      <w:pPr>
        <w:ind w:left="420"/>
      </w:pPr>
      <w:r>
        <w:t xml:space="preserve">17. Qualitätssicherung.</w:t>
      </w:r>
    </w:p>
    <w:p>
      <w:r>
        <w:rPr>
          <w:color w:val="555555"/>
          <w:sz w:val="17"/>
        </w:rPr>
        <w:t xml:space="preserve">Zitiervorschlag: § 3 GlasmAusbV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https://recht.nulegal.eu/gesetze/GlasmAusbV/3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