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GlashütteV</w:t>
      </w:r>
    </w:p>
    <w:p>
      <w:r>
        <w:rPr>
          <w:color w:val="555555"/>
          <w:sz w:val="18"/>
        </w:rPr>
        <w:t xml:space="preserve">Glashütteverordnung</w:t>
      </w:r>
    </w:p>
    <w:p>
      <w:r>
        <w:rPr>
          <w:color w:val="555555"/>
          <w:sz w:val="18"/>
        </w:rPr>
        <w:t xml:space="preserve">Stand: 09.03.2022 (konsolidierte Textfassung, kein amtliches Inkrafttretensdatum)</w:t>
      </w:r>
    </w:p>
    <w:p>
      <w:r>
        <w:t xml:space="preserve">Auf Grund des § 137 des Markengesetzes, der zuletzt durch Artikel 206 Nummer 3 der Verordnung vom 31. August 2015 (BGBl. I S. 1474) geändert worden ist, in Verbindung mit § 1 Absatz 2 des Zuständigkeitsanpassungsgesetzes vom 16. August 2002 (BGBl. I S. 3165) und dem Organisationserlass vom 8. Dezember 2021 (BGBl. I S. 5176), verordnet das Bundesministerium der Justiz im Einvernehmen mit dem Bundesministerium für Wirtschaft und Klimaschutz und dem Bundesministerium für Ernährung und Landwirtschaft:</w:t>
      </w:r>
    </w:p>
    <w:p>
      <w:r>
        <w:rPr>
          <w:color w:val="555555"/>
          <w:sz w:val="17"/>
        </w:rPr>
        <w:t xml:space="preserve">Zitiervorschlag: Eingangsformel GlashütteV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https://recht.nulegal.eu/gesetze/Glash%C3%BCtteV/eingangsformel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