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GlaserMstrV — Prüfungsdauer und Bestehen des Teils II</w:t>
      </w:r>
    </w:p>
    <w:p>
      <w:r>
        <w:rPr>
          <w:color w:val="555555"/>
          <w:sz w:val="18"/>
        </w:rPr>
        <w:t xml:space="preserve">Glasermeisterverordnung</w:t>
      </w:r>
    </w:p>
    <w:p>
      <w:r>
        <w:rPr>
          <w:color w:val="555555"/>
          <w:sz w:val="18"/>
        </w:rPr>
        <w:t xml:space="preserve">Stand: 10.06.2019 (konsolidierte Textfassung, kein amtliches Inkrafttretensdatum)</w:t>
      </w:r>
    </w:p>
    <w:p>
      <w:r>
        <w:t xml:space="preserve">(1) Die Prüfung in Teil II ist schriftlich durchzuführen. Sie dauert in jedem Handlungsfeld drei Stunden. Eine Prüfungsdauer von sechs Stunden an einem Tag darf nicht überschritten werden.</w:t>
      </w:r>
    </w:p>
    <w:p>
      <w:r>
        <w:t xml:space="preserve">(2) Die Gesamtbewertung des Teils II ist die Summe der Einzelbewertungen der Handlungsfelder nach § 8 Absatz 2, für die das arithmetische Mittel gebildet wird.</w:t>
      </w:r>
    </w:p>
    <w:p>
      <w:r>
        <w:t xml:space="preserve">(3) Wurden in höchstens zwei der in § 8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(4)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9 GlaserMstrV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https://recht.nulegal.eu/gesetze/GlaserMstrV/9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