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GlaserMstrV — Fachgespräch</w:t>
      </w:r>
    </w:p>
    <w:p>
      <w:r>
        <w:rPr>
          <w:color w:val="555555"/>
          <w:sz w:val="18"/>
        </w:rPr>
        <w:t xml:space="preserve">Glasermeisterverordnung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Fachgespräch hat der Prüfling nachzuweisen, dass er in der Lage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das Vorgehen bei der Planung und bei der Durchführung des Meisterprüfungsprojekts zu begründen und</w:t>
      </w:r>
    </w:p>
    <w:p>
      <w:pPr>
        <w:ind w:left="420"/>
      </w:pPr>
      <w:r>
        <w:t xml:space="preserve">3. mit dem Meisterprüfungsprojekt verbundene berufsbezogene Probleme sowie deren Lösungen darzustellen und dabei neue Entwicklungen im Glaser-Handwerk zu berücksichtigen.</w:t>
      </w:r>
    </w:p>
    <w:p>
      <w:r>
        <w:rPr>
          <w:color w:val="555555"/>
          <w:sz w:val="17"/>
        </w:rPr>
        <w:t xml:space="preserve">Zitiervorschlag: § 5 GlaserMstrV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https://recht.nulegal.eu/gesetze/GlaserMstrV/5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