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GlasblAusbV — Inkrafttreten</w:t>
      </w:r>
    </w:p>
    <w:p>
      <w:r>
        <w:rPr>
          <w:color w:val="555555"/>
          <w:sz w:val="18"/>
        </w:rPr>
        <w:t xml:space="preserve">Verordnung über die Berufsausbildung zum Glasbläser/zur Glasbläserin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1998 in Kraft.</w:t>
      </w:r>
    </w:p>
    <w:p>
      <w:r>
        <w:rPr>
          <w:color w:val="555555"/>
          <w:sz w:val="17"/>
        </w:rPr>
        <w:t xml:space="preserve">Zitiervorschlag: § 9 GlasblAusbV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https://recht.nulegal.eu/gesetze/GlasblAusbV/9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