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GlasblAusbV — Berichtsheft</w:t>
      </w:r>
    </w:p>
    <w:p>
      <w:r>
        <w:rPr>
          <w:color w:val="555555"/>
          <w:sz w:val="18"/>
        </w:rPr>
        <w:t xml:space="preserve">Verordnung über die Berufsausbildung zum Glasbläser/zur Glasbläserin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Auszubildende hat ein Berichtsheft in Form eines Ausbildungsnachweises zu führen. Ihm ist Gelegenheit zu geben, das Berichtsheft während der Ausbildungszeit zu führen. Der Ausbildende hat das Berichtsheft regelmäßig durchzusehen.</w:t>
      </w:r>
    </w:p>
    <w:p>
      <w:r>
        <w:rPr>
          <w:color w:val="555555"/>
          <w:sz w:val="17"/>
        </w:rPr>
        <w:t xml:space="preserve">Zitiervorschlag: § 6 GlasblAusbV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https://recht.nulegal.eu/gesetze/GlasblAusbV/6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