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GlasblAusbV — Ausbildungsberufsbild</w:t>
      </w:r>
    </w:p>
    <w:p>
      <w:r>
        <w:rPr>
          <w:color w:val="555555"/>
          <w:sz w:val="18"/>
        </w:rPr>
        <w:t xml:space="preserve">Verordnung über die Berufsausbildung zum Glasbläser/zur Glasbläserin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 und Vorbereiten von Arbeitsabläufen sowie Kontrollieren und Bewerten der Arbeitsergebnisse,</w:t>
      </w:r>
    </w:p>
    <w:p>
      <w:pPr>
        <w:ind w:left="420"/>
      </w:pPr>
      <w:r>
        <w:t xml:space="preserve">6. Einsetzen, Pflegen und Warten von Arbeitsmitteln, Werkzeugen, Geräten, Maschinen und Anlagen,</w:t>
      </w:r>
    </w:p>
    <w:p>
      <w:pPr>
        <w:ind w:left="420"/>
      </w:pPr>
      <w:r>
        <w:t xml:space="preserve">7. Trennen und Umformen von Glasstäben und Glasröhren,</w:t>
      </w:r>
    </w:p>
    <w:p>
      <w:pPr>
        <w:ind w:left="420"/>
      </w:pPr>
      <w:r>
        <w:t xml:space="preserve">8. Fügen und Formen von Glasstäben und Glasröhren,</w:t>
      </w:r>
    </w:p>
    <w:p>
      <w:pPr>
        <w:ind w:left="420"/>
      </w:pPr>
      <w:r>
        <w:t xml:space="preserve">9. Herstellen von Hohlglasartikeln,</w:t>
      </w:r>
    </w:p>
    <w:p>
      <w:pPr>
        <w:ind w:left="420"/>
      </w:pPr>
      <w:r>
        <w:t xml:space="preserve">10. Formen von Vollglasartikeln.</w:t>
      </w:r>
    </w:p>
    <w:p>
      <w:r>
        <w:t xml:space="preserve">(2) Gegenstand der Berufsausbildung in der Fachrichtung Glasgestaltung sind mindestens die folgenden Fertigkeiten und Kenntnisse:</w:t>
      </w:r>
    </w:p>
    <w:p>
      <w:pPr>
        <w:ind w:left="420"/>
      </w:pPr>
      <w:r>
        <w:t xml:space="preserve">1. Anfertigen von Hohlglastieren in verschiedenen Größen und Stellungen,</w:t>
      </w:r>
    </w:p>
    <w:p>
      <w:pPr>
        <w:ind w:left="420"/>
      </w:pPr>
      <w:r>
        <w:t xml:space="preserve">2. Anfertigen von Gebrauchs- und Ziergläsern mit Dekor in verschiedenen Größen,</w:t>
      </w:r>
    </w:p>
    <w:p>
      <w:pPr>
        <w:ind w:left="420"/>
      </w:pPr>
      <w:r>
        <w:t xml:space="preserve">3. Anfertigen anspruchsvoller Glasplastiken nach vorgegebenen und eigenen Entwürfen.</w:t>
      </w:r>
    </w:p>
    <w:p>
      <w:r>
        <w:t xml:space="preserve">(3) Gegenstand der Berufsausbildung in der Fachrichtung Christbaumschmuck sind mindestens die folgenden Fertigkeiten und Kenntnisse:</w:t>
      </w:r>
    </w:p>
    <w:p>
      <w:pPr>
        <w:ind w:left="420"/>
      </w:pPr>
      <w:r>
        <w:t xml:space="preserve">1. Fertigen von anspruchsvollem Christbaumschmuck frei geformt oder in Formen geblasen,</w:t>
      </w:r>
    </w:p>
    <w:p>
      <w:pPr>
        <w:ind w:left="420"/>
      </w:pPr>
      <w:r>
        <w:t xml:space="preserve">2. Veredeln von Christbaumschmuck.</w:t>
      </w:r>
    </w:p>
    <w:p>
      <w:r>
        <w:t xml:space="preserve">(4) Gegenstand der Berufsausbildung in der Fachrichtung Kunstaugen sind mindestens die folgenden Fertigkeiten und Kenntnisse:</w:t>
      </w:r>
    </w:p>
    <w:p>
      <w:pPr>
        <w:ind w:left="420"/>
      </w:pPr>
      <w:r>
        <w:t xml:space="preserve">1. Gestalten der Iris und der Pupille,</w:t>
      </w:r>
    </w:p>
    <w:p>
      <w:pPr>
        <w:ind w:left="420"/>
      </w:pPr>
      <w:r>
        <w:t xml:space="preserve">2. Herstellen der Augenform.</w:t>
      </w:r>
    </w:p>
    <w:p>
      <w:r>
        <w:rPr>
          <w:color w:val="555555"/>
          <w:sz w:val="17"/>
        </w:rPr>
        <w:t xml:space="preserve">Zitiervorschlag: § 3 GlasblAusbV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https://recht.nulegal.eu/gesetze/GlasblAusbV/3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