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GlasblAusbV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Glasbläser/zur Glasbläserin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Glasbläser/Glasbläserin wird</w:t>
      </w:r>
    </w:p>
    <w:p>
      <w:pPr>
        <w:ind w:left="420"/>
      </w:pPr>
      <w:r>
        <w:t xml:space="preserve">1. gemäß § 25 der Handwerksordnung für eine Ausbildung in dem Gewerbe Nr. 75, Glasbläser und Glasapparatebauer, der Anlage A der Handwerksordnung sowie</w:t>
      </w:r>
    </w:p>
    <w:p>
      <w:pPr>
        <w:ind w:left="420"/>
      </w:pPr>
      <w:r>
        <w:t xml:space="preserve">2. gemäß § 25 des Berufsbildungsgesetzes</w:t>
      </w:r>
    </w:p>
    <w:p>
      <w:r>
        <w:t xml:space="preserve">staatlich anerkannt.</w:t>
      </w:r>
    </w:p>
    <w:p>
      <w:r>
        <w:rPr>
          <w:color w:val="555555"/>
          <w:sz w:val="17"/>
        </w:rPr>
        <w:t xml:space="preserve">Zitiervorschlag: § 1 GlasblAusbV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https://recht.nulegal.eu/gesetze/GlasblAusbV/1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