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GlasappAusbV 2023</w:t>
      </w:r>
    </w:p>
    <w:p>
      <w:r>
        <w:rPr>
          <w:color w:val="555555"/>
          <w:sz w:val="18"/>
        </w:rPr>
        <w:t xml:space="preserve">Glasapparatebauer-Ausbildungsverordnung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Auf Grund des § 25 Absatz 1 Satz 1 der Handwerksordnung, der zuletzt durch Artikel 2 Nummer 1 des Gesetzes vom 9. November 2022 (BGBl. I S. 2009) geändert worden ist, und auf Grund des § 4 Absatz 1 des Berufsbildungsgesetzes in der Fassung der Bekanntmachung vom 4. Mai 2020 (BGBl. I S. 920) in Verbindung mit § 1 Absatz 2 des Zuständigkeitsanpassungsgesetzes vom 16. August 2002 (BGBl. I S. 3165) und dem Organisationserlass vom 8. Dezember 2021 (BGBl. I S. 5176)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GlasappAusbV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https://recht.nulegal.eu/gesetze/GlasappAusbV%202023/eingangsformel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GlasappAusbV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