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GlasVMstrV — Weitere Regelungen zur Meisterprüfung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Prüfung in den Teilen III und IV der Meisterprüfung bestimmt sich nach der Allgemeinen Meisterprüfungsverordnung vom 26. Oktober 2011 (BGBl. I S. 2149) in der jeweils geltenden Fassung.</w:t>
      </w:r>
    </w:p>
    <w:p>
      <w:r>
        <w:t xml:space="preserve">(2) Die Vorschriften der Meisterprüfungsverfahrensverordnung bleiben unberührt.</w:t>
      </w:r>
    </w:p>
    <w:p>
      <w:r>
        <w:rPr>
          <w:color w:val="555555"/>
          <w:sz w:val="17"/>
        </w:rPr>
        <w:t xml:space="preserve">Zitiervorschlag: § 7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