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GlasVMstrV — Prüfung der fachtheoretischen Kenntnisse (Teil II)</w:t>
      </w:r>
    </w:p>
    <w:p>
      <w:r>
        <w:rPr>
          <w:color w:val="555555"/>
          <w:sz w:val="18"/>
        </w:rPr>
        <w:t xml:space="preserve">Glasveredlermeisterverordnung</w:t>
      </w:r>
    </w:p>
    <w:p>
      <w:r>
        <w:rPr>
          <w:color w:val="555555"/>
          <w:sz w:val="18"/>
        </w:rPr>
        <w:t xml:space="preserve">Stand: 10.06.2019 (konsolidierte Textfassung, kein amtliches Inkrafttretensdatum)</w:t>
      </w:r>
    </w:p>
    <w:p>
      <w:r>
        <w:t xml:space="preserve">(1) In Teil II sind Kenntnisse in den folgenden fünf Prüfungsfächern nachzuweisen:</w:t>
      </w:r>
    </w:p>
    <w:p>
      <w:pPr>
        <w:ind w:left="420"/>
      </w:pPr>
      <w:r>
        <w:t xml:space="preserve">1. Technische Mathematik und Technisches Zeichnen:</w:t>
      </w:r>
    </w:p>
    <w:p>
      <w:pPr>
        <w:ind w:left="780"/>
      </w:pPr>
      <w:r>
        <w:t xml:space="preserve">a) Flächen-, Längen-, Massen-, Volumen-, Winkel- und Körperberechnungen,</w:t>
      </w:r>
    </w:p>
    <w:p>
      <w:pPr>
        <w:ind w:left="780"/>
      </w:pPr>
      <w:r>
        <w:t xml:space="preserve">b) Mengen- und Massenermittlungen von Materialien,</w:t>
      </w:r>
    </w:p>
    <w:p>
      <w:pPr>
        <w:ind w:left="780"/>
      </w:pPr>
      <w:r>
        <w:t xml:space="preserve">c) Entwurfs- und Werkzeichnungen, Körperdarstellungen,</w:t>
      </w:r>
    </w:p>
    <w:p>
      <w:pPr>
        <w:ind w:left="780"/>
      </w:pPr>
      <w:r>
        <w:t xml:space="preserve">d) Darstellen von floralen, figuralen und ornamentalen Dekoren sowie Schriften und Wappen;</w:t>
      </w:r>
    </w:p>
    <w:p>
      <w:pPr>
        <w:ind w:left="420"/>
      </w:pPr>
      <w:r>
        <w:t xml:space="preserve">2. Fachtechnologie:</w:t>
      </w:r>
    </w:p>
    <w:p>
      <w:pPr>
        <w:ind w:left="780"/>
      </w:pPr>
      <w:r>
        <w:t xml:space="preserve">a) Veredlungstechniken, Geräte, Werkzeuge, Maschinen und Einrichtungen,</w:t>
      </w:r>
    </w:p>
    <w:p>
      <w:pPr>
        <w:ind w:left="780"/>
      </w:pPr>
      <w:r>
        <w:t xml:space="preserve">b) Fertigungs- und Automatisierungstechnik, Materialfluß, Zeitwerte, Qualitätssicherung und Informationsverarbeitung,</w:t>
      </w:r>
    </w:p>
    <w:p>
      <w:pPr>
        <w:ind w:left="780"/>
      </w:pPr>
      <w:r>
        <w:t xml:space="preserve">c) Verglasungs- und Montagetechniken,</w:t>
      </w:r>
    </w:p>
    <w:p>
      <w:pPr>
        <w:ind w:left="780"/>
      </w:pPr>
      <w:r>
        <w:t xml:space="preserve">d) technische Richtlinien und berufsbezogene Normen,</w:t>
      </w:r>
    </w:p>
    <w:p>
      <w:pPr>
        <w:ind w:left="780"/>
      </w:pPr>
      <w:r>
        <w:t xml:space="preserve">e) berufsbezogene Vorschriften der Arbeitssicherheit und des Arbeitsschutzes, der Entsorgung sowie der rationellen Energieverwendung;</w:t>
      </w:r>
    </w:p>
    <w:p>
      <w:pPr>
        <w:ind w:left="420"/>
      </w:pPr>
      <w:r>
        <w:t xml:space="preserve">3. Stilkunde und Gestaltung:</w:t>
      </w:r>
    </w:p>
    <w:p>
      <w:pPr>
        <w:ind w:left="780"/>
      </w:pPr>
      <w:r>
        <w:t xml:space="preserve">a) Entwicklungsgeschichte der Architektur, der Malerei und des Glases,</w:t>
      </w:r>
    </w:p>
    <w:p>
      <w:pPr>
        <w:ind w:left="780"/>
      </w:pPr>
      <w:r>
        <w:t xml:space="preserve">b) Heraldik,</w:t>
      </w:r>
    </w:p>
    <w:p>
      <w:pPr>
        <w:ind w:left="780"/>
      </w:pPr>
      <w:r>
        <w:t xml:space="preserve">c) Schriftarten und Schriftgestaltung,</w:t>
      </w:r>
    </w:p>
    <w:p>
      <w:pPr>
        <w:ind w:left="780"/>
      </w:pPr>
      <w:r>
        <w:t xml:space="preserve">d) Gestalten von Flächen und Körpern;</w:t>
      </w:r>
    </w:p>
    <w:p>
      <w:pPr>
        <w:ind w:left="420"/>
      </w:pPr>
      <w:r>
        <w:t xml:space="preserve">4. Werkstoffkunde:</w:t>
      </w:r>
    </w:p>
    <w:p>
      <w:pPr>
        <w:ind w:left="780"/>
      </w:pPr>
      <w:r>
        <w:t xml:space="preserve">a) Zusammensetzung, Aufbau, Herstellung, Eigenschaften, Anwendung und Veredlungsmöglichkeiten der Glasarten und Glaserzeugnisse,</w:t>
      </w:r>
    </w:p>
    <w:p>
      <w:pPr>
        <w:ind w:left="780"/>
      </w:pPr>
      <w:r>
        <w:t xml:space="preserve">b) Arten, Eigenschaften und Anwendung der glasähnlichen Stoffe,</w:t>
      </w:r>
    </w:p>
    <w:p>
      <w:pPr>
        <w:ind w:left="780"/>
      </w:pPr>
      <w:r>
        <w:t xml:space="preserve">c) Sorten, Vorkommen, Herstellung, Eigenschaften und Einsatz von Schleif-, Strahl- und Poliermitteln, Säuren, Lösungen, Farben und Klebern sowie Dicht-, Hilfs- und Kunststoffen, Halb- und Fertigfabrikaten;</w:t>
      </w:r>
    </w:p>
    <w:p>
      <w:pPr>
        <w:ind w:left="420"/>
      </w:pPr>
      <w:r>
        <w:t xml:space="preserve">5.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zehn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2.</w:t>
      </w:r>
    </w:p>
    <w:p>
      <w:r>
        <w:rPr>
          <w:color w:val="555555"/>
          <w:sz w:val="17"/>
        </w:rPr>
        <w:t xml:space="preserve">Zitiervorschlag: § 5 GlasVMstrV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https://recht.nulegal.eu/gesetze/GlasVMstrV/5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