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GlasVAusbV</w:t>
      </w:r>
    </w:p>
    <w:p>
      <w:r>
        <w:rPr>
          <w:color w:val="555555"/>
          <w:sz w:val="18"/>
        </w:rPr>
        <w:t xml:space="preserve">Verordnung über die Berufsausbildung zum Glasveredler/zur Glasveredlerin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25 Abs. 1 in Verbindung mit Abs. 2 Satz 1 der Handwerksordnung in der Fassung der Bekanntmachung vom 24. September 1998 (BGBl. I S. 3074), der zuletzt durch Artikel 1 Nr. 26 des Gesetzes vom 24. Dezember 2003 (BGBl. I S. 2934) geändert worden ist, und des § 25 Abs. 1 in Verbindung mit Abs. 2 Satz 1 des Berufsbildungsgesetzes vom 14. August 1969 (BGBl. I S. 1112), der zuletzt durch Artikel 184 Nr. 1 der Verordnung vom 25. November 2003 (BGBl. I S. 2304) geändert worden ist, verordnet das Bundesministerium für Wirtschaft und Arbeit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GlasVAusbV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https://recht.nulegal.eu/gesetze/GlasVAusbV/eingangsformel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