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GlasVAusbV — Ausbildungsdauer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 Im dritten Ausbildungsjahr kann zwischen den Fachrichtungen</w:t>
      </w:r>
    </w:p>
    <w:p>
      <w:pPr>
        <w:ind w:left="420"/>
      </w:pPr>
      <w:r>
        <w:t xml:space="preserve">1. Kanten- und Flächenveredelung,</w:t>
      </w:r>
    </w:p>
    <w:p>
      <w:pPr>
        <w:ind w:left="420"/>
      </w:pPr>
      <w:r>
        <w:t xml:space="preserve">2. Schliff und Gravur,</w:t>
      </w:r>
    </w:p>
    <w:p>
      <w:pPr>
        <w:ind w:left="420"/>
      </w:pPr>
      <w:r>
        <w:t xml:space="preserve">3. Glasmalerei und Kunstverglasung</w:t>
      </w:r>
    </w:p>
    <w:p>
      <w:r>
        <w:t xml:space="preserve">gewählt werden.</w:t>
      </w:r>
    </w:p>
    <w:p>
      <w:r>
        <w:rPr>
          <w:color w:val="555555"/>
          <w:sz w:val="17"/>
        </w:rPr>
        <w:t xml:space="preserve">Zitiervorschlag: § 2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