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GlasIndMstrFortbV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Glas und Geprüfte Industriemeisterin – Fachrichtung Glas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„Fachrichtungsübergreifende Basisqualifikationen“ sind die Prüfungsleistungen für jeden Prüfungsbereich einzeln zu bewerten. Aus den einzelnen Bewertungen ist als Bewertung für den Prüfungsteil das arithmetische Mittel zu berechnen.</w:t>
      </w:r>
    </w:p>
    <w:p>
      <w:r>
        <w:t xml:space="preserve">(3) Im Prüfungsteil „Handlungsspezifische Qualifikationen“ sind als Prüfungsleistungen die beiden schriftlichen Situationsaufgaben und das situationsbezogene Fachgespräch einzeln zu bewerten.</w:t>
      </w:r>
    </w:p>
    <w:p>
      <w:r>
        <w:rPr>
          <w:color w:val="555555"/>
          <w:sz w:val="17"/>
        </w:rPr>
        <w:t xml:space="preserve">Zitiervorschlag: § 7 GlasIndMstrFortbV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https://recht.nulegal.eu/gesetze/GlasIndMstrFortbV/7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