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GlasIndMstrFortbV — Umfang der Industriemeisterqualifikation und Gliederung der Prüfung</w:t>
      </w:r>
    </w:p>
    <w:p>
      <w:r>
        <w:rPr>
          <w:color w:val="555555"/>
          <w:sz w:val="18"/>
        </w:rPr>
        <w:t xml:space="preserve">Verordnung über die Prüfung zum anerkannten Fortbildungsabschluss Geprüfter Industriemeister – Fachrichtung Glas und Geprüfte Industriemeisterin – Fachrichtung Glas</w:t>
      </w:r>
    </w:p>
    <w:p>
      <w:r>
        <w:rPr>
          <w:color w:val="555555"/>
          <w:sz w:val="18"/>
        </w:rPr>
        <w:t xml:space="preserve">Stand: 10.06.2019 (konsolidierte Textfassung, kein amtliches Inkrafttretensdatum)</w:t>
      </w:r>
    </w:p>
    <w:p>
      <w:r>
        <w:t xml:space="preserve">(1) Die Qualifikation zum „Geprüften Industriemeister – Fachrichtung Glas“ und zur „Geprüften Industriemeisterin – Fachrichtung Glas“ umfasst:</w:t>
      </w:r>
    </w:p>
    <w:p>
      <w:pPr>
        <w:ind w:left="420"/>
      </w:pPr>
      <w:r>
        <w:t xml:space="preserve">1. Berufs- und arbeitspädagogische Qualifikationen,</w:t>
      </w:r>
    </w:p>
    <w:p>
      <w:pPr>
        <w:ind w:left="420"/>
      </w:pPr>
      <w:r>
        <w:t xml:space="preserve">2. Fachrichtungsübergreifende Basisqualifikationen,</w:t>
      </w:r>
    </w:p>
    <w:p>
      <w:pPr>
        <w:ind w:left="420"/>
      </w:pPr>
      <w:r>
        <w:t xml:space="preserve">3. Handlungsspezifische Qualifikationen.</w:t>
      </w:r>
    </w:p>
    <w:p>
      <w:r>
        <w:t xml:space="preserve">(2) Der Erwerb der berufs- und arbeitspädagogischen Eignung ist durch eine erfolgreich abgelegte Prüfung nach § 4 der nach dem Berufsbildungsgesetz erlassenen Ausbilder-Eignungsverordnung oder durch eine andere erfolgreich abgelegte vergleichbare Prüfung vor einer öffentlichen oder staatlich anerkannten Bildungseinrichtung oder vor einem staatlichen Prüfungsausschuss nachzuweisen. Der Prüfungsnachweis ist vor Beginn der letzten Prüfungsleistung vorzulegen.</w:t>
      </w:r>
    </w:p>
    <w:p>
      <w:r>
        <w:t xml:space="preserve">(3) Die Prüfung zum „Geprüften Industriemeister – Fachrichtung Glas“ und zur „Geprüften Industriemeisterin – Fachrichtung Glas“ gliedert sich in die Prüfungsteile:</w:t>
      </w:r>
    </w:p>
    <w:p>
      <w:pPr>
        <w:ind w:left="420"/>
      </w:pPr>
      <w:r>
        <w:t xml:space="preserve">1. Fachrichtungsübergreifende Basisqualifikationen,</w:t>
      </w:r>
    </w:p>
    <w:p>
      <w:pPr>
        <w:ind w:left="420"/>
      </w:pPr>
      <w:r>
        <w:t xml:space="preserve">2. Handlungsspezifische Qualifikationen.</w:t>
      </w:r>
    </w:p>
    <w:p>
      <w:r>
        <w:t xml:space="preserve">(4) Im Prüfungsteil nach Absatz 3 Nummer 1 ist schriftlich in Form von anwendungsbezogenen Aufgabenstellungen nach § 4 zu prüfen. Im Prüfungsteil nach Absatz 3 Nummer 2 ist schriftlich in Form von die Handlungsbereiche integrierenden Situationsaufgaben und mündlich in Form eines situationsbezogenen Fachgesprächs nach § 5 zu prüfen.</w:t>
      </w:r>
    </w:p>
    <w:p>
      <w:r>
        <w:rPr>
          <w:color w:val="555555"/>
          <w:sz w:val="17"/>
        </w:rPr>
        <w:t xml:space="preserve">Zitiervorschlag: § 2 GlasIndMstrFortbV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https://recht.nulegal.eu/gesetze/GlasIndMstrFortbV/2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