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GlVO (Nordrhein-Westfalen) — Direkter Hochschulzugang</w:t>
      </w:r>
    </w:p>
    <w:p>
      <w:r>
        <w:rPr>
          <w:color w:val="555555"/>
          <w:sz w:val="18"/>
        </w:rPr>
        <w:t xml:space="preserve">Gleichwertigkeitsverordnung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Ausländische Bildungsnachweise sind einer Hochschulreife gemäß §§ 2, 3 gleichwertig, wenn sie</w:t>
      </w:r>
    </w:p>
    <w:p>
      <w:r>
        <w:t xml:space="preserve">1. zur Studienaufnahme im Herkunftsland und</w:t>
      </w:r>
    </w:p>
    <w:p>
      <w:r>
        <w:t xml:space="preserve">2. nach den Bewertungsvorschlägen der Zentralstelle für ausländisches Bildungswesen zum direkten Hochschulzugang</w:t>
      </w:r>
    </w:p>
    <w:p>
      <w:r>
        <w:t xml:space="preserve">berechtigen. Berechtigt der ausländische Bildungsnachweis im Herkunftsland zur Studienaufnahme in bestimmten Fächern, ist er der fachgebundenen Hochschulreife gleichwertig und berechtigt zum Studium in fachlich entsprechenden und verwandten Studiengängen.</w:t>
      </w:r>
    </w:p>
    <w:p>
      <w:r>
        <w:t xml:space="preserve">(2) Ein Sekundarschulabschluss einer ausländischen Schule in der Bundesrepublik Deutschland ist einer Hochschulreife gemäß §§ 2, 3 gleichwertig und berechtigt direkt zum Hochschulzugang, wenn er</w:t>
      </w:r>
    </w:p>
    <w:p>
      <w:r>
        <w:t xml:space="preserve">1. in dem Staat, dessen Bildungssystem die Schule repräsentiert, nachweislich dieselbe Berechtigung wie der Abschluss der in diesem Staat gelegenen Schulen verleiht (allgemeiner oder fachgebundener Hochschulzugang) und</w:t>
      </w:r>
    </w:p>
    <w:p>
      <w:r>
        <w:t xml:space="preserve">2. nach den Bewertungsvorschlägen der Zentralstelle für ausländisches Bildungswesen zum direkten Hochschulzugang berechtigt.</w:t>
      </w:r>
    </w:p>
    <w:p>
      <w:r>
        <w:rPr>
          <w:color w:val="555555"/>
          <w:sz w:val="17"/>
        </w:rPr>
        <w:t xml:space="preserve">Zitiervorschlag: § 8 GlVO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https://recht.nulegal.eu/gesetze/GlVO/8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