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GlVO (Nordrhein-Westfalen) — Geltungsbereich, Regelungsinhalt</w:t>
      </w:r>
    </w:p>
    <w:p>
      <w:r>
        <w:rPr>
          <w:color w:val="555555"/>
          <w:sz w:val="18"/>
        </w:rPr>
        <w:t xml:space="preserve">Gleichwertigkeitsverordnung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Gleichwertigkeit von Bildungsnachweisen mit der Hochschulreife und der Fachhochschulreife als Qualifikation zur Aufnahme eines Studiums an einer Hochschule in der Trägerschaft des Landes Nordrhein-Westfalen oder einer Hochschule des Landes, den Hochschulzugang auf Grund von ausländischen Bildungsnachweisen sowie den Hochschulzugang auf Grund eines Hochschulstudiums.</w:t>
      </w:r>
    </w:p>
    <w:p>
      <w:r>
        <w:t xml:space="preserve">Abschnitt 2</w:t>
      </w:r>
    </w:p>
    <w:p>
      <w:r>
        <w:t xml:space="preserve">Hochschulreife und Fachhochschulreife</w:t>
      </w:r>
    </w:p>
    <w:p>
      <w:r>
        <w:rPr>
          <w:color w:val="555555"/>
          <w:sz w:val="17"/>
        </w:rPr>
        <w:t xml:space="preserve">Zitiervorschlag: § 1 GlVO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