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GlPrZBKnV — Inkrafttreten</w:t>
      </w:r>
    </w:p>
    <w:p>
      <w:r>
        <w:rPr>
          <w:color w:val="555555"/>
          <w:sz w:val="18"/>
        </w:rPr>
        <w:t xml:space="preserve">Verordnung zur Gleichstellung der bei der Bundesknappschaft erworbenen Prüfungszeugnisse über das Bestehen der Prüfung nach dem Tarifvertrag über die Fortbildung von Angestellten mit Zeugnissen zur Sozialversicherungsfachwirtin oder zum Sozialversicherungsfachwirt – Fachrichtung knappschaftliche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GlPrZBKnV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https://recht.nulegal.eu/gesetze/GlPrZBKnV/2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