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GlAusbV 2001</w:t>
      </w:r>
    </w:p>
    <w:p>
      <w:r>
        <w:rPr>
          <w:color w:val="555555"/>
          <w:sz w:val="18"/>
        </w:rPr>
        <w:t xml:space="preserve">Verordnung über die Berufsausbildung zum Glaser/zur Glaserin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25 Abs. 1 in Verbindung mit Abs. 2 Satz 1 der Handwerksordnung in der Fassung der Bekanntmachung vom 24. September 1998 (BGBl. I S. 3074), jeweils in Verbindung mit Artikel 56 des Zuständigkeitsanpassungs-Gesetzes vom 18. März 1975 (BGBl. I S. 705) und dem Organisationserlass vom 27. Oktober 1998 (BGBl. I S. 3288),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GlAusbV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https://recht.nulegal.eu/gesetze/GlAusbV%202001/eingangsformel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