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GlAusbV 2001 — Zwischenprüfung</w:t>
      </w:r>
    </w:p>
    <w:p>
      <w:r>
        <w:rPr>
          <w:color w:val="555555"/>
          <w:sz w:val="18"/>
        </w:rPr>
        <w:t xml:space="preserve">Verordnung über die Berufsausbildung zum Glaser/zur Glaserin</w:t>
      </w:r>
    </w:p>
    <w:p>
      <w:r>
        <w:rPr>
          <w:color w:val="555555"/>
          <w:sz w:val="18"/>
        </w:rPr>
        <w:t xml:space="preserve">Stand: 10.06.2019 (konsolidierte Textfassung, kein amtliches Inkrafttretensdatum)</w:t>
      </w:r>
    </w:p>
    <w:p>
      <w:r>
        <w:t xml:space="preserve">(1) Zur Ermittlung des Ausbildungsstandes ist eine Zwischenprüfung durchzuführen. Sie soll vor dem Ende des zweiten Ausbildungsjahres stattfinden.</w:t>
      </w:r>
    </w:p>
    <w:p>
      <w:r>
        <w:t xml:space="preserve">(2) Die Zwischenprüfung erstreckt sich auf die in der Anlage für die ersten 18 Monate aufgeführten Fertigkeiten und Kenntnisse sowie auf den im Berufsschulunterricht entsprechend dem Rahmenlehrplan zu vermittelnden Lehrstoff, soweit er für die Berufsausbildung wesentlich ist.</w:t>
      </w:r>
    </w:p>
    <w:p>
      <w:r>
        <w:t xml:space="preserve">(3) Der Prüfling soll im praktischen Teil der Prüfung in insgesamt höchstens sieben Stunden eine Arbeitsaufgabe sowie im schriftlichen Teil der Prüfung in insgesamt 180 Minuten die zur Arbeitsaufgabe gehörende Arbeitsplanung und Dokumentation bearbeiten. Hierfür kommt insbesondere das Herstellen eines Werkstücks unter Anwendung manueller und maschineller Bearbeitungstechniken, unterschiedlicher Verbindungstechniken einschließlich Behandeln von Oberflächen in Betracht. Dabei soll der Prüfling zeigen, dass er die Arbeitsschritte planen, Arbeitsmittel festlegen, technische Unterlagen nutzen sowie den Umweltschutz, die Sicherheit und den Gesundheitsschutz bei der Arbeit beachten kann.</w:t>
      </w:r>
    </w:p>
    <w:p>
      <w:r>
        <w:rPr>
          <w:color w:val="555555"/>
          <w:sz w:val="17"/>
        </w:rPr>
        <w:t xml:space="preserve">Zitiervorschlag: § 7 GlAusbV 2001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https://recht.nulegal.eu/gesetze/GlAusbV%202001/7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