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GlAusbV 2001 — Ausbildungsdauer</w:t>
      </w:r>
    </w:p>
    <w:p>
      <w:r>
        <w:rPr>
          <w:color w:val="555555"/>
          <w:sz w:val="18"/>
        </w:rPr>
        <w:t xml:space="preserve">Verordnung über die Berufsausbildung zum Glaser/zur Glaserin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 Es kann zwischen den Fachrichtungen</w:t>
      </w:r>
    </w:p>
    <w:p>
      <w:pPr>
        <w:ind w:left="420"/>
      </w:pPr>
      <w:r>
        <w:t xml:space="preserve">1. Verglasung und Glasbau und</w:t>
      </w:r>
    </w:p>
    <w:p>
      <w:pPr>
        <w:ind w:left="420"/>
      </w:pPr>
      <w:r>
        <w:t xml:space="preserve">2. Fenster- und Glasfassadenbau</w:t>
      </w:r>
    </w:p>
    <w:p>
      <w:r>
        <w:t xml:space="preserve">gewählt werden.</w:t>
      </w:r>
    </w:p>
    <w:p>
      <w:r>
        <w:rPr>
          <w:color w:val="555555"/>
          <w:sz w:val="17"/>
        </w:rPr>
        <w:t xml:space="preserve">Zitiervorschlag: § 2 GlAusbV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https://recht.nulegal.eu/gesetze/GlAusbV%202001/2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