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GlAppMstrV — Übergangsvorschrift</w:t>
      </w:r>
    </w:p>
    <w:p>
      <w:r>
        <w:rPr>
          <w:color w:val="555555"/>
          <w:sz w:val="18"/>
        </w:rPr>
        <w:t xml:space="preserve">Glasapparatebauermeisterverordnung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bei Inkrafttreten dieser Verordnung laufenden Prüfungsverfahren werden nach den bisherigen Vorschriften zu Ende geführt.</w:t>
      </w:r>
    </w:p>
    <w:p>
      <w:r>
        <w:rPr>
          <w:color w:val="555555"/>
          <w:sz w:val="17"/>
        </w:rPr>
        <w:t xml:space="preserve">Zitiervorschlag: § 6 GlAppMstrV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https://recht.nulegal.eu/gesetze/GlAppMstrV/6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