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GiftTierG NRW (Nordrhein-Westfalen) — Sonderordnungsbehörde; Geltung anderer Rechtsvorschriften</w:t>
      </w:r>
    </w:p>
    <w:p>
      <w:r>
        <w:rPr>
          <w:color w:val="555555"/>
          <w:sz w:val="18"/>
        </w:rPr>
        <w:t xml:space="preserve">Gifttiergesetz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den Vollzug dieses Gesetzes ist das Landesamt als Sonderordnungsbehörde zuständig. Die dem Landesamt nach diesem Gesetz obliegenden Aufgaben gelten als solche der Gefahrenabwehr.</w:t>
      </w:r>
    </w:p>
    <w:p>
      <w:r>
        <w:t xml:space="preserve">(2) Vorschriften des Tierschutzrechts sowie des Natur- und Artenschutzrechts bleiben unberührt.</w:t>
      </w:r>
    </w:p>
    <w:p>
      <w:r>
        <w:t xml:space="preserve">(3) Regelungen in ordnungsbehördlichen Verordnungen der örtlichen Ordnungsbehörden mit Bezug auf sehr giftige Tiere bleiben unberührt, soweit sie zu diesem Gesetz nicht in Widerspruch stehen.</w:t>
      </w:r>
    </w:p>
    <w:p>
      <w:r>
        <w:rPr>
          <w:color w:val="555555"/>
          <w:sz w:val="17"/>
        </w:rPr>
        <w:t xml:space="preserve">Zitiervorschlag: § 6 GiftTierG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https://recht.nulegal.eu/gesetze/GiftTierG%20NRW/6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GiftTierG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