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GiMedAusbV — Prüfungsbereiche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„Immersive Medienprodukte in Entwicklungsumgebungen vorbereiten und erstellen“ und</w:t>
      </w:r>
    </w:p>
    <w:p>
      <w:pPr>
        <w:ind w:left="420"/>
      </w:pPr>
      <w:r>
        <w:t xml:space="preserve">2. „3D-Modelle und Medienprodukte erstellen“.</w:t>
      </w:r>
    </w:p>
    <w:p>
      <w:r>
        <w:rPr>
          <w:color w:val="555555"/>
          <w:sz w:val="17"/>
        </w:rPr>
        <w:t xml:space="preserve">Zitiervorschlag: § 9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