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GiMedAusbV — Mündliche Ergänzungsprüfung</w:t>
      </w:r>
    </w:p>
    <w:p>
      <w:r>
        <w:rPr>
          <w:color w:val="555555"/>
          <w:sz w:val="18"/>
        </w:rPr>
        <w:t xml:space="preserve">Gestalter-immersive-Medien-Ausbildungsverordnung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„Immersive Medien konzipieren und gestalten“,</w:t>
      </w:r>
    </w:p>
    <w:p>
      <w:pPr>
        <w:ind w:left="780"/>
      </w:pPr>
      <w:r>
        <w:t xml:space="preserve">b) „Produktion von immersiven Medien organisieren und umsetzen“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Buchstabe b oder Buchstabe c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der Prüfungsbereiche nach Satz 1 Nummer 1 Buchstabe a, Buchstabe b oder Buchstabe c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20 GiMedAusbV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https://recht.nulegal.eu/gesetze/GiMedAusbV/20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