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GiMedAusbV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„Immersive Medien produzieren“    mit 50 Prozent,</w:t>
      </w:r>
    </w:p>
    <w:p>
      <w:r>
        <w:rPr>
          <w:rFonts w:ascii="Courier New" w:hAnsi="Courier New"/>
          <w:sz w:val="17"/>
        </w:rPr>
        <w:t xml:space="preserve">„Immersive Medien konzipieren und gestalten“    mit 20 Prozent,</w:t>
      </w:r>
    </w:p>
    <w:p>
      <w:r>
        <w:rPr>
          <w:rFonts w:ascii="Courier New" w:hAnsi="Courier New"/>
          <w:sz w:val="17"/>
        </w:rPr>
        <w:t xml:space="preserve">„Produktion von immersiven Medien organisieren und umsetzen“    mit 20 Prozent</w:t>
      </w:r>
    </w:p>
    <w:p>
      <w:pPr>
        <w:ind w:left="420"/>
      </w:pPr>
      <w:r>
        <w:t xml:space="preserve">3.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4. (2) Die Abschlussprüfung ist bestanden, wenn die Prüfungsleistungen – auch unter Berücksichtigung einer mündlichen Ergänzungsprüfung nach § 20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„Immersive Medien produzieren“ mit mindestens „ausreichend“,</w:t>
      </w:r>
    </w:p>
    <w:p>
      <w:pPr>
        <w:ind w:left="420"/>
      </w:pPr>
      <w:r>
        <w:t xml:space="preserve">3. in mindestens zwei weiteren Prüfungsbereichen mit mindestens „ausreichend“ und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19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