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GiMedAusbV — Prüfungsbereich „Immersive Medien konzipieren und gestalten“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„Immersive Medien konzipieren und gestalten“ hat der Prüfling nachzuweisen, dass er in der Lage ist,</w:t>
      </w:r>
    </w:p>
    <w:p>
      <w:pPr>
        <w:ind w:left="420"/>
      </w:pPr>
      <w:r>
        <w:t xml:space="preserve">1. Auftragsunterlagen zu prüfen und zu bewerten,</w:t>
      </w:r>
    </w:p>
    <w:p>
      <w:pPr>
        <w:ind w:left="420"/>
      </w:pPr>
      <w:r>
        <w:t xml:space="preserve">2. Kundengespräche vorzubereiten und auszuwerten, auch in englischer Sprache,</w:t>
      </w:r>
    </w:p>
    <w:p>
      <w:pPr>
        <w:ind w:left="420"/>
      </w:pPr>
      <w:r>
        <w:t xml:space="preserve">3. Produktionsplanungen durchzuführen,</w:t>
      </w:r>
    </w:p>
    <w:p>
      <w:pPr>
        <w:ind w:left="420"/>
      </w:pPr>
      <w:r>
        <w:t xml:space="preserve">4. Evaluationskonzepte zu entwickeln,</w:t>
      </w:r>
    </w:p>
    <w:p>
      <w:pPr>
        <w:ind w:left="420"/>
      </w:pPr>
      <w:r>
        <w:t xml:space="preserve">5. Gestaltungskonzepte für immersive Medienprodukte zu erstellen und zu visualisieren,</w:t>
      </w:r>
    </w:p>
    <w:p>
      <w:pPr>
        <w:ind w:left="420"/>
      </w:pPr>
      <w:r>
        <w:t xml:space="preserve">6. Interaktions- und Kollaborationskonzepte zu erstellen,</w:t>
      </w:r>
    </w:p>
    <w:p>
      <w:pPr>
        <w:ind w:left="420"/>
      </w:pPr>
      <w:r>
        <w:t xml:space="preserve">7. die Benutzerführung innerhalb von immersiven Medienprodukten an unterschiedliche Zielgruppen anzupassen und die Gestaltung dieser Medienprodukte für verschiedene Distributionswege zu beschreiben,</w:t>
      </w:r>
    </w:p>
    <w:p>
      <w:pPr>
        <w:ind w:left="420"/>
      </w:pPr>
      <w:r>
        <w:t xml:space="preserve">8. die Erstellung von Prototypen immersiver Medienprodukte zu beschreiben sowie Prototypen von immersiven Medienprodukten zu beurteilen und Optimierungsmöglichkeiten aufzuzeigen,</w:t>
      </w:r>
    </w:p>
    <w:p>
      <w:pPr>
        <w:ind w:left="420"/>
      </w:pPr>
      <w:r>
        <w:t xml:space="preserve">9. medienrechtliche Vorschriften einzuhalten,</w:t>
      </w:r>
    </w:p>
    <w:p>
      <w:pPr>
        <w:ind w:left="420"/>
      </w:pPr>
      <w:r>
        <w:t xml:space="preserve">10. Kommunikationsformen und -regeln anzuwenden,</w:t>
      </w:r>
    </w:p>
    <w:p>
      <w:pPr>
        <w:ind w:left="420"/>
      </w:pPr>
      <w:r>
        <w:t xml:space="preserve">11. Aspekte der Benutzerfreundlichkeit und der Barrierefreiheit sowie ethische Grundsätze bei der Gestaltung von immersiven Medien zu berücksichtigen und</w:t>
      </w:r>
    </w:p>
    <w:p>
      <w:pPr>
        <w:ind w:left="420"/>
      </w:pPr>
      <w:r>
        <w:t xml:space="preserve">12. die Aufbereitung immersiver Medienprodukte für die Distribution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16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